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67E" w14:textId="38156E68" w:rsidR="007C0327" w:rsidRDefault="001D0637" w:rsidP="001D0637">
      <w:pPr>
        <w:jc w:val="center"/>
        <w:rPr>
          <w:rFonts w:ascii="FrankRuehl" w:hAnsi="FrankRuehl" w:cs="FrankRuehl"/>
          <w:b/>
          <w:bCs/>
          <w:sz w:val="44"/>
          <w:szCs w:val="44"/>
        </w:rPr>
      </w:pPr>
      <w:r>
        <w:rPr>
          <w:rFonts w:ascii="FrankRuehl" w:hAnsi="FrankRuehl" w:cs="FrankRuehl"/>
          <w:b/>
          <w:bCs/>
          <w:noProof/>
          <w:sz w:val="44"/>
          <w:szCs w:val="44"/>
        </w:rPr>
        <w:drawing>
          <wp:inline distT="0" distB="0" distL="0" distR="0" wp14:anchorId="29396433" wp14:editId="69567410">
            <wp:extent cx="4521200" cy="1486135"/>
            <wp:effectExtent l="0" t="0" r="0" b="0"/>
            <wp:docPr id="1532019250" name="Image 1" descr="Une image contenant texte, Police, lign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19250" name="Image 1" descr="Une image contenant texte, Police, ligne, blanc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661" cy="150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DDEB" w14:textId="77777777" w:rsidR="001D0637" w:rsidRDefault="001D0637">
      <w:pPr>
        <w:rPr>
          <w:rFonts w:ascii="FrankRuehl" w:hAnsi="FrankRuehl" w:cs="FrankRuehl"/>
          <w:sz w:val="32"/>
          <w:szCs w:val="32"/>
        </w:rPr>
      </w:pPr>
    </w:p>
    <w:p w14:paraId="6C1BBFF2" w14:textId="77777777" w:rsidR="001D0637" w:rsidRPr="001D0637" w:rsidRDefault="001D0637" w:rsidP="007C0327">
      <w:pPr>
        <w:jc w:val="center"/>
        <w:rPr>
          <w:rFonts w:ascii="FrankRuehl" w:hAnsi="FrankRuehl" w:cs="FrankRuehl"/>
          <w:sz w:val="40"/>
          <w:szCs w:val="40"/>
        </w:rPr>
      </w:pPr>
    </w:p>
    <w:p w14:paraId="7D56AC9F" w14:textId="12E1663C" w:rsidR="007C0327" w:rsidRPr="001D0637" w:rsidRDefault="007C0327" w:rsidP="007C0327">
      <w:pPr>
        <w:jc w:val="center"/>
        <w:rPr>
          <w:rFonts w:ascii="FrankRuehl" w:hAnsi="FrankRuehl" w:cs="FrankRuehl" w:hint="cs"/>
          <w:b/>
          <w:bCs/>
          <w:sz w:val="40"/>
          <w:szCs w:val="40"/>
        </w:rPr>
      </w:pPr>
      <w:r w:rsidRPr="001D0637">
        <w:rPr>
          <w:rFonts w:ascii="FrankRuehl" w:hAnsi="FrankRuehl" w:cs="FrankRuehl" w:hint="cs"/>
          <w:b/>
          <w:bCs/>
          <w:sz w:val="40"/>
          <w:szCs w:val="40"/>
        </w:rPr>
        <w:t>Menu roumain pour l’Ordre de la Channe</w:t>
      </w:r>
    </w:p>
    <w:p w14:paraId="5CF5C7C2" w14:textId="76AC3770" w:rsidR="007C0327" w:rsidRPr="001D0637" w:rsidRDefault="007C0327" w:rsidP="007C0327">
      <w:pPr>
        <w:jc w:val="center"/>
        <w:rPr>
          <w:rFonts w:ascii="FrankRuehl" w:hAnsi="FrankRuehl" w:cs="FrankRuehl" w:hint="cs"/>
          <w:sz w:val="40"/>
          <w:szCs w:val="40"/>
        </w:rPr>
      </w:pPr>
      <w:r w:rsidRPr="001D0637">
        <w:rPr>
          <w:rFonts w:ascii="FrankRuehl" w:hAnsi="FrankRuehl" w:cs="FrankRuehl" w:hint="cs"/>
          <w:sz w:val="40"/>
          <w:szCs w:val="40"/>
        </w:rPr>
        <w:t>21 mars 2024 – dès 18h30</w:t>
      </w:r>
    </w:p>
    <w:p w14:paraId="3A4C618B" w14:textId="77777777" w:rsidR="007C0327" w:rsidRPr="001D0637" w:rsidRDefault="007C0327">
      <w:pPr>
        <w:rPr>
          <w:rFonts w:ascii="FrankRuehl" w:hAnsi="FrankRuehl" w:cs="FrankRuehl" w:hint="cs"/>
          <w:sz w:val="36"/>
          <w:szCs w:val="36"/>
        </w:rPr>
      </w:pPr>
    </w:p>
    <w:p w14:paraId="7D6EC30B" w14:textId="7AC7BB88" w:rsidR="007C0327" w:rsidRPr="001D0637" w:rsidRDefault="007C0327" w:rsidP="00D07966">
      <w:pPr>
        <w:jc w:val="center"/>
        <w:rPr>
          <w:rFonts w:ascii="FrankRuehl" w:hAnsi="FrankRuehl" w:cs="FrankRuehl"/>
          <w:b/>
          <w:bCs/>
          <w:sz w:val="40"/>
          <w:szCs w:val="40"/>
        </w:rPr>
      </w:pPr>
      <w:r w:rsidRPr="001D0637">
        <w:rPr>
          <w:rFonts w:ascii="FrankRuehl" w:hAnsi="FrankRuehl" w:cs="FrankRuehl"/>
          <w:b/>
          <w:bCs/>
          <w:sz w:val="40"/>
          <w:szCs w:val="40"/>
        </w:rPr>
        <w:t>Entrées</w:t>
      </w:r>
    </w:p>
    <w:p w14:paraId="46CC7BF8" w14:textId="2DBCC0DF" w:rsidR="007C0327" w:rsidRPr="001D0637" w:rsidRDefault="007C0327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Farandole de tapas roumains :</w:t>
      </w:r>
    </w:p>
    <w:p w14:paraId="112092C0" w14:textId="3D3FF471" w:rsidR="007C0327" w:rsidRPr="001D0637" w:rsidRDefault="007C0327" w:rsidP="00D07966">
      <w:pPr>
        <w:jc w:val="center"/>
        <w:rPr>
          <w:rFonts w:ascii="FrankRuehl" w:hAnsi="FrankRuehl" w:cs="FrankRuehl"/>
          <w:sz w:val="36"/>
          <w:szCs w:val="36"/>
        </w:rPr>
      </w:pPr>
      <w:proofErr w:type="spellStart"/>
      <w:r w:rsidRPr="001D0637">
        <w:rPr>
          <w:rFonts w:ascii="FrankRuehl" w:hAnsi="FrankRuehl" w:cs="FrankRuehl"/>
          <w:sz w:val="36"/>
          <w:szCs w:val="36"/>
        </w:rPr>
        <w:t>Zacusca</w:t>
      </w:r>
      <w:proofErr w:type="spellEnd"/>
      <w:r w:rsidRPr="001D0637">
        <w:rPr>
          <w:rFonts w:ascii="FrankRuehl" w:hAnsi="FrankRuehl" w:cs="FrankRuehl"/>
          <w:sz w:val="36"/>
          <w:szCs w:val="36"/>
        </w:rPr>
        <w:t xml:space="preserve"> (légumes confits)</w:t>
      </w:r>
    </w:p>
    <w:p w14:paraId="3B16B7FC" w14:textId="4C1E4CA8" w:rsidR="007C0327" w:rsidRPr="001D0637" w:rsidRDefault="007C0327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Caviar d’aubergines</w:t>
      </w:r>
    </w:p>
    <w:p w14:paraId="73E4A9E1" w14:textId="0353C597" w:rsidR="007C0327" w:rsidRPr="001D0637" w:rsidRDefault="007C0327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Humus de haricots blancs</w:t>
      </w:r>
    </w:p>
    <w:p w14:paraId="267B1599" w14:textId="3C51FCE1" w:rsidR="007C0327" w:rsidRPr="001D0637" w:rsidRDefault="007C0327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Boulettes de viande</w:t>
      </w:r>
    </w:p>
    <w:p w14:paraId="4B2CC8E2" w14:textId="071BAD23" w:rsidR="007C0327" w:rsidRPr="001D0637" w:rsidRDefault="007C0327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Œufs mimosa</w:t>
      </w:r>
    </w:p>
    <w:p w14:paraId="30357145" w14:textId="77777777" w:rsidR="007C0327" w:rsidRPr="001D0637" w:rsidRDefault="007C0327">
      <w:pPr>
        <w:rPr>
          <w:rFonts w:ascii="FrankRuehl" w:hAnsi="FrankRuehl" w:cs="FrankRuehl"/>
          <w:sz w:val="36"/>
          <w:szCs w:val="36"/>
        </w:rPr>
      </w:pPr>
    </w:p>
    <w:p w14:paraId="7D0E2DC4" w14:textId="5B9C6BF2" w:rsidR="007C0327" w:rsidRPr="001D0637" w:rsidRDefault="007C0327" w:rsidP="00D07966">
      <w:pPr>
        <w:jc w:val="center"/>
        <w:rPr>
          <w:rFonts w:ascii="FrankRuehl" w:hAnsi="FrankRuehl" w:cs="FrankRuehl"/>
          <w:b/>
          <w:bCs/>
          <w:sz w:val="40"/>
          <w:szCs w:val="40"/>
        </w:rPr>
      </w:pPr>
      <w:r w:rsidRPr="001D0637">
        <w:rPr>
          <w:rFonts w:ascii="FrankRuehl" w:hAnsi="FrankRuehl" w:cs="FrankRuehl"/>
          <w:b/>
          <w:bCs/>
          <w:sz w:val="40"/>
          <w:szCs w:val="40"/>
        </w:rPr>
        <w:t>Plat principal</w:t>
      </w:r>
    </w:p>
    <w:p w14:paraId="073A85F7" w14:textId="6B8B3A7F" w:rsidR="007C0327" w:rsidRPr="001D0637" w:rsidRDefault="007C0327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Sarmale</w:t>
      </w:r>
    </w:p>
    <w:p w14:paraId="374E8A82" w14:textId="63B27643" w:rsidR="007C0327" w:rsidRPr="001D0637" w:rsidRDefault="007C0327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(Choux farcis et feuilles de vig</w:t>
      </w:r>
      <w:r w:rsidR="00D07966" w:rsidRPr="001D0637">
        <w:rPr>
          <w:rFonts w:ascii="FrankRuehl" w:hAnsi="FrankRuehl" w:cs="FrankRuehl"/>
          <w:sz w:val="36"/>
          <w:szCs w:val="36"/>
        </w:rPr>
        <w:t>n</w:t>
      </w:r>
      <w:r w:rsidRPr="001D0637">
        <w:rPr>
          <w:rFonts w:ascii="FrankRuehl" w:hAnsi="FrankRuehl" w:cs="FrankRuehl"/>
          <w:sz w:val="36"/>
          <w:szCs w:val="36"/>
        </w:rPr>
        <w:t>e marinées</w:t>
      </w:r>
      <w:r w:rsidR="00D07966" w:rsidRPr="001D0637">
        <w:rPr>
          <w:rFonts w:ascii="FrankRuehl" w:hAnsi="FrankRuehl" w:cs="FrankRuehl"/>
          <w:sz w:val="36"/>
          <w:szCs w:val="36"/>
        </w:rPr>
        <w:t>, farcies à la viande de bœuf, riz, épices et herbes)</w:t>
      </w:r>
    </w:p>
    <w:p w14:paraId="6C2B3CDA" w14:textId="448005EC" w:rsidR="00D07966" w:rsidRPr="001D0637" w:rsidRDefault="00D07966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Polenta à la crème et piments (tradition roumaine)</w:t>
      </w:r>
    </w:p>
    <w:p w14:paraId="2D3367FD" w14:textId="77777777" w:rsidR="00D07966" w:rsidRPr="001D0637" w:rsidRDefault="00D07966">
      <w:pPr>
        <w:rPr>
          <w:rFonts w:ascii="FrankRuehl" w:hAnsi="FrankRuehl" w:cs="FrankRuehl"/>
          <w:sz w:val="36"/>
          <w:szCs w:val="36"/>
        </w:rPr>
      </w:pPr>
    </w:p>
    <w:p w14:paraId="4A0E05CF" w14:textId="71EBE252" w:rsidR="00D07966" w:rsidRPr="001D0637" w:rsidRDefault="00D07966" w:rsidP="00D07966">
      <w:pPr>
        <w:jc w:val="center"/>
        <w:rPr>
          <w:rFonts w:ascii="FrankRuehl" w:hAnsi="FrankRuehl" w:cs="FrankRuehl"/>
          <w:b/>
          <w:bCs/>
          <w:sz w:val="40"/>
          <w:szCs w:val="40"/>
        </w:rPr>
      </w:pPr>
      <w:r w:rsidRPr="001D0637">
        <w:rPr>
          <w:rFonts w:ascii="FrankRuehl" w:hAnsi="FrankRuehl" w:cs="FrankRuehl"/>
          <w:b/>
          <w:bCs/>
          <w:sz w:val="40"/>
          <w:szCs w:val="40"/>
        </w:rPr>
        <w:t>Dessert</w:t>
      </w:r>
    </w:p>
    <w:p w14:paraId="69E51D6A" w14:textId="7366DB10" w:rsidR="00D07966" w:rsidRPr="001D0637" w:rsidRDefault="00D07966" w:rsidP="00D07966">
      <w:pPr>
        <w:jc w:val="center"/>
        <w:rPr>
          <w:rFonts w:ascii="FrankRuehl" w:hAnsi="FrankRuehl" w:cs="FrankRuehl"/>
          <w:sz w:val="36"/>
          <w:szCs w:val="36"/>
        </w:rPr>
      </w:pPr>
      <w:proofErr w:type="spellStart"/>
      <w:r w:rsidRPr="001D0637">
        <w:rPr>
          <w:rFonts w:ascii="FrankRuehl" w:hAnsi="FrankRuehl" w:cs="FrankRuehl"/>
          <w:sz w:val="36"/>
          <w:szCs w:val="36"/>
        </w:rPr>
        <w:t>Papanaches</w:t>
      </w:r>
      <w:proofErr w:type="spellEnd"/>
    </w:p>
    <w:p w14:paraId="10593816" w14:textId="44654A35" w:rsidR="00D07966" w:rsidRPr="001D0637" w:rsidRDefault="00D07966" w:rsidP="00D07966">
      <w:pPr>
        <w:jc w:val="center"/>
        <w:rPr>
          <w:rFonts w:ascii="FrankRuehl" w:hAnsi="FrankRuehl" w:cs="FrankRuehl"/>
          <w:sz w:val="36"/>
          <w:szCs w:val="36"/>
        </w:rPr>
      </w:pPr>
      <w:r w:rsidRPr="001D0637">
        <w:rPr>
          <w:rFonts w:ascii="FrankRuehl" w:hAnsi="FrankRuehl" w:cs="FrankRuehl"/>
          <w:sz w:val="36"/>
          <w:szCs w:val="36"/>
        </w:rPr>
        <w:t>(Beignets avec confiture de myrtilles et crème épaisse)</w:t>
      </w:r>
    </w:p>
    <w:p w14:paraId="25DC1300" w14:textId="77777777" w:rsidR="00D07966" w:rsidRPr="001D0637" w:rsidRDefault="00D07966" w:rsidP="00D07966">
      <w:pPr>
        <w:rPr>
          <w:rFonts w:ascii="FrankRuehl" w:hAnsi="FrankRuehl" w:cs="FrankRuehl"/>
          <w:sz w:val="36"/>
          <w:szCs w:val="36"/>
        </w:rPr>
      </w:pPr>
    </w:p>
    <w:p w14:paraId="346791BD" w14:textId="77777777" w:rsidR="00D07966" w:rsidRDefault="00D07966" w:rsidP="00D07966">
      <w:pPr>
        <w:rPr>
          <w:rFonts w:ascii="FrankRuehl" w:hAnsi="FrankRuehl" w:cs="FrankRuehl"/>
          <w:sz w:val="32"/>
          <w:szCs w:val="32"/>
        </w:rPr>
      </w:pPr>
    </w:p>
    <w:p w14:paraId="36A49D84" w14:textId="77777777" w:rsidR="00D07966" w:rsidRPr="007C0327" w:rsidRDefault="00D07966" w:rsidP="00D07966">
      <w:pPr>
        <w:rPr>
          <w:rFonts w:ascii="FrankRuehl" w:hAnsi="FrankRuehl" w:cs="FrankRuehl" w:hint="cs"/>
          <w:sz w:val="32"/>
          <w:szCs w:val="32"/>
        </w:rPr>
      </w:pPr>
    </w:p>
    <w:sectPr w:rsidR="00D07966" w:rsidRPr="007C0327" w:rsidSect="001D0637">
      <w:pgSz w:w="11906" w:h="16838"/>
      <w:pgMar w:top="94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27"/>
    <w:rsid w:val="001D0637"/>
    <w:rsid w:val="007C0327"/>
    <w:rsid w:val="00D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A832D"/>
  <w15:chartTrackingRefBased/>
  <w15:docId w15:val="{98168923-F788-AB4E-BBA0-3F2CF0C5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bérod</dc:creator>
  <cp:keywords/>
  <dc:description/>
  <cp:lastModifiedBy>patrick bérod</cp:lastModifiedBy>
  <cp:revision>2</cp:revision>
  <dcterms:created xsi:type="dcterms:W3CDTF">2024-02-12T09:03:00Z</dcterms:created>
  <dcterms:modified xsi:type="dcterms:W3CDTF">2024-02-12T09:22:00Z</dcterms:modified>
</cp:coreProperties>
</file>